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F005" w14:textId="77777777" w:rsidR="00D9314B" w:rsidRPr="00097B50" w:rsidRDefault="00D9314B" w:rsidP="00753886">
      <w:pPr>
        <w:pStyle w:val="Default"/>
      </w:pPr>
      <w:r w:rsidRPr="00E43949">
        <w:t>Anlage</w:t>
      </w:r>
      <w:r w:rsidRPr="00E43949">
        <w:rPr>
          <w:spacing w:val="-1"/>
        </w:rPr>
        <w:t xml:space="preserve"> </w:t>
      </w:r>
      <w:r w:rsidRPr="00097B50">
        <w:t>1:</w:t>
      </w:r>
      <w:r w:rsidRPr="00E43949">
        <w:rPr>
          <w:spacing w:val="-1"/>
        </w:rPr>
        <w:t xml:space="preserve"> </w:t>
      </w:r>
      <w:r w:rsidRPr="00753886">
        <w:rPr>
          <w:i/>
          <w:color w:val="A6A6A6" w:themeColor="background1" w:themeShade="A6"/>
        </w:rPr>
        <w:t>Vorhabensbeschreibung</w:t>
      </w:r>
    </w:p>
    <w:p w14:paraId="313BC71C" w14:textId="0870A920" w:rsidR="00D9314B" w:rsidRPr="00753886" w:rsidRDefault="00D9314B" w:rsidP="00753886">
      <w:pPr>
        <w:autoSpaceDE w:val="0"/>
        <w:autoSpaceDN w:val="0"/>
        <w:adjustRightInd w:val="0"/>
        <w:spacing w:before="0" w:after="0"/>
        <w:rPr>
          <w:rFonts w:eastAsiaTheme="minorHAnsi" w:cs="Arial"/>
          <w:i/>
          <w:color w:val="A6A6A6" w:themeColor="background1" w:themeShade="A6"/>
          <w:szCs w:val="22"/>
          <w:lang w:eastAsia="en-US"/>
        </w:rPr>
      </w:pPr>
      <w:r w:rsidRPr="00753886">
        <w:rPr>
          <w:i/>
          <w:color w:val="A6A6A6" w:themeColor="background1" w:themeShade="A6"/>
          <w:szCs w:val="22"/>
        </w:rPr>
        <w:t>Diese Anlage soll maximal</w:t>
      </w:r>
      <w:r w:rsidR="00251864" w:rsidRPr="00753886">
        <w:rPr>
          <w:i/>
          <w:color w:val="A6A6A6" w:themeColor="background1" w:themeShade="A6"/>
          <w:szCs w:val="22"/>
        </w:rPr>
        <w:t xml:space="preserve"> 15 Seiten ohne Anhang umfassen. 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Problem- und Zielstellung sowie vor allem auch der später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e Nutzen für die Gesetzliche Un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fallversicherung müssen prägnant und allgemein verständlich vermittelt werden.</w:t>
      </w:r>
      <w:r w:rsidR="00386147">
        <w:rPr>
          <w:i/>
          <w:color w:val="A6A6A6" w:themeColor="background1" w:themeShade="A6"/>
          <w:szCs w:val="22"/>
        </w:rPr>
        <w:t xml:space="preserve"> </w:t>
      </w:r>
      <w:r w:rsidR="00386147" w:rsidRPr="00736EF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Bitte achten Sie auf die gendergerechte Formulierung der Texte.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 xml:space="preserve"> </w:t>
      </w:r>
      <w:r w:rsidR="00251864" w:rsidRPr="00753886">
        <w:rPr>
          <w:i/>
          <w:color w:val="A6A6A6" w:themeColor="background1" w:themeShade="A6"/>
          <w:szCs w:val="22"/>
        </w:rPr>
        <w:t xml:space="preserve">Fachtermini sind ggf. zu erläutern. Die </w:t>
      </w:r>
      <w:r w:rsidRPr="00753886">
        <w:rPr>
          <w:i/>
          <w:color w:val="A6A6A6" w:themeColor="background1" w:themeShade="A6"/>
          <w:szCs w:val="22"/>
        </w:rPr>
        <w:t xml:space="preserve">folgenden Kapitel </w:t>
      </w:r>
      <w:r w:rsidR="00251864" w:rsidRPr="00753886">
        <w:rPr>
          <w:i/>
          <w:color w:val="A6A6A6" w:themeColor="background1" w:themeShade="A6"/>
          <w:szCs w:val="22"/>
        </w:rPr>
        <w:t>sind zu füllen</w:t>
      </w:r>
      <w:r w:rsidRPr="00753886">
        <w:rPr>
          <w:i/>
          <w:color w:val="A6A6A6" w:themeColor="background1" w:themeShade="A6"/>
          <w:szCs w:val="22"/>
        </w:rPr>
        <w:t>:</w:t>
      </w:r>
    </w:p>
    <w:p w14:paraId="5D524819" w14:textId="77777777" w:rsidR="00D9314B" w:rsidRPr="00D9314B" w:rsidRDefault="00D9314B" w:rsidP="00D9314B">
      <w:pPr>
        <w:spacing w:before="188" w:line="250" w:lineRule="auto"/>
        <w:ind w:right="664"/>
        <w:rPr>
          <w:rFonts w:eastAsia="Arial" w:cs="Arial"/>
          <w:i/>
          <w:color w:val="A6A6A6" w:themeColor="background1" w:themeShade="A6"/>
        </w:rPr>
      </w:pPr>
    </w:p>
    <w:p w14:paraId="38A4D980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Problemstellung</w:t>
      </w:r>
    </w:p>
    <w:p w14:paraId="2738C4FD" w14:textId="77777777" w:rsidR="00D9314B" w:rsidRDefault="00D9314B" w:rsidP="00D9314B">
      <w:pPr>
        <w:spacing w:after="120"/>
        <w:jc w:val="both"/>
        <w:rPr>
          <w:b/>
        </w:rPr>
      </w:pPr>
    </w:p>
    <w:p w14:paraId="47E9EE4F" w14:textId="77777777" w:rsidR="00D9314B" w:rsidRDefault="00D9314B" w:rsidP="00D9314B">
      <w:pPr>
        <w:spacing w:after="120"/>
        <w:jc w:val="both"/>
        <w:rPr>
          <w:b/>
        </w:rPr>
      </w:pPr>
    </w:p>
    <w:p w14:paraId="746822B7" w14:textId="77777777" w:rsidR="00D9314B" w:rsidRDefault="00D9314B" w:rsidP="00D9314B">
      <w:pPr>
        <w:spacing w:after="120"/>
        <w:jc w:val="both"/>
        <w:rPr>
          <w:b/>
        </w:rPr>
      </w:pPr>
    </w:p>
    <w:p w14:paraId="3358CD6F" w14:textId="77777777" w:rsidR="00D9314B" w:rsidRPr="00D9314B" w:rsidRDefault="00D9314B" w:rsidP="00D9314B">
      <w:pPr>
        <w:spacing w:after="120"/>
        <w:jc w:val="both"/>
        <w:rPr>
          <w:rFonts w:eastAsia="Arial"/>
          <w:b/>
          <w:szCs w:val="22"/>
          <w:lang w:val="en-US"/>
        </w:rPr>
      </w:pPr>
    </w:p>
    <w:p w14:paraId="70CDF6BC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t>Stand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Erkenntnisse</w:t>
      </w:r>
    </w:p>
    <w:p w14:paraId="287F7B37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Nachweis einer systematisch durchgeführten Literaturrecherche inkl. Beschreibung der Suchstrategie</w:t>
      </w:r>
    </w:p>
    <w:p w14:paraId="3DA6BCA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Zusammenfassung relevanter Forschungsarbeiten (eigene und externe)</w:t>
      </w:r>
    </w:p>
    <w:p w14:paraId="409F498D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Defizitanalyse, die sich aus der Literaturrecherche ergibt</w:t>
      </w:r>
    </w:p>
    <w:p w14:paraId="39D570A1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D48B3F5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692CB224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2BAFDE5" w14:textId="77777777" w:rsid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Zielsetzung, Zielgruppen</w:t>
      </w:r>
    </w:p>
    <w:p w14:paraId="03B9BA8B" w14:textId="437B4425" w:rsidR="006F0377" w:rsidRPr="00D9314B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Die </w:t>
      </w:r>
      <w:r w:rsidRPr="006F0377">
        <w:rPr>
          <w:i/>
          <w:color w:val="A6A6A6" w:themeColor="background1" w:themeShade="A6"/>
          <w:u w:val="single"/>
        </w:rPr>
        <w:t>Forschungshypothese</w:t>
      </w:r>
      <w:r>
        <w:rPr>
          <w:i/>
          <w:color w:val="A6A6A6" w:themeColor="background1" w:themeShade="A6"/>
        </w:rPr>
        <w:t xml:space="preserve"> ist hier einmal klar und präzise zu formulieren.</w:t>
      </w:r>
    </w:p>
    <w:p w14:paraId="0AAB2CD6" w14:textId="3169E14A" w:rsidR="00D9314B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>Zielgruppen sind zu nennen</w:t>
      </w:r>
      <w:r w:rsidR="00813BA0">
        <w:rPr>
          <w:i/>
          <w:color w:val="A6A6A6" w:themeColor="background1" w:themeShade="A6"/>
        </w:rPr>
        <w:t>.</w:t>
      </w:r>
    </w:p>
    <w:p w14:paraId="589DCB8A" w14:textId="7C3007B9" w:rsidR="00B34E87" w:rsidRPr="006F0377" w:rsidRDefault="00A16029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>Berücksichtig</w:t>
      </w:r>
      <w:r w:rsidR="00813BA0">
        <w:rPr>
          <w:i/>
          <w:color w:val="A6A6A6" w:themeColor="background1" w:themeShade="A6"/>
        </w:rPr>
        <w:t>ung</w:t>
      </w:r>
      <w:r>
        <w:rPr>
          <w:i/>
          <w:color w:val="A6A6A6" w:themeColor="background1" w:themeShade="A6"/>
        </w:rPr>
        <w:t xml:space="preserve"> ggf. </w:t>
      </w:r>
      <w:r w:rsidR="00832F71">
        <w:rPr>
          <w:i/>
          <w:color w:val="A6A6A6" w:themeColor="background1" w:themeShade="A6"/>
        </w:rPr>
        <w:t>g</w:t>
      </w:r>
      <w:r w:rsidR="00B34E87">
        <w:rPr>
          <w:i/>
          <w:color w:val="A6A6A6" w:themeColor="background1" w:themeShade="A6"/>
        </w:rPr>
        <w:t>eschlechterspezifische</w:t>
      </w:r>
      <w:r w:rsidR="0047674F">
        <w:rPr>
          <w:i/>
          <w:color w:val="A6A6A6" w:themeColor="background1" w:themeShade="A6"/>
        </w:rPr>
        <w:t>r</w:t>
      </w:r>
      <w:r w:rsidR="00B34E87">
        <w:rPr>
          <w:i/>
          <w:color w:val="A6A6A6" w:themeColor="background1" w:themeShade="A6"/>
        </w:rPr>
        <w:t xml:space="preserve"> </w:t>
      </w:r>
      <w:r>
        <w:rPr>
          <w:i/>
          <w:color w:val="A6A6A6" w:themeColor="background1" w:themeShade="A6"/>
        </w:rPr>
        <w:t>Aspekte</w:t>
      </w:r>
      <w:r w:rsidR="00813BA0">
        <w:rPr>
          <w:i/>
          <w:color w:val="A6A6A6" w:themeColor="background1" w:themeShade="A6"/>
        </w:rPr>
        <w:t>.</w:t>
      </w:r>
    </w:p>
    <w:p w14:paraId="63E3BDEB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35FB66A8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089DF8C7" w14:textId="77777777" w:rsidR="00D9314B" w:rsidRPr="00D9314B" w:rsidRDefault="00D9314B" w:rsidP="00D9314B">
      <w:pPr>
        <w:spacing w:after="120"/>
        <w:jc w:val="both"/>
        <w:rPr>
          <w:b/>
          <w:color w:val="010202"/>
        </w:rPr>
      </w:pPr>
    </w:p>
    <w:p w14:paraId="2F5D912F" w14:textId="77777777" w:rsidR="00251864" w:rsidRDefault="00D9314B" w:rsidP="00251864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Relevanz für die Gesetzliche Unfallversicherung</w:t>
      </w:r>
    </w:p>
    <w:p w14:paraId="339775F7" w14:textId="77777777" w:rsidR="00D9314B" w:rsidRPr="00251864" w:rsidRDefault="00251864" w:rsidP="00251864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251864">
        <w:rPr>
          <w:i/>
          <w:color w:val="A6A6A6" w:themeColor="background1" w:themeShade="A6"/>
        </w:rPr>
        <w:t>Die Verwertbarkeit der Ergebnisse für die praktische Arbeit der Unfallversicherungsträger stellt einen sehr wichtigen Aspekt bei der Bewertung der beantragten Forschungsvorhaben dar. Darauf sollte hier möglichst ausführlich eingegangen werden.</w:t>
      </w:r>
    </w:p>
    <w:p w14:paraId="54955FEB" w14:textId="77777777" w:rsidR="00D9314B" w:rsidRDefault="00D9314B" w:rsidP="00D9314B">
      <w:pPr>
        <w:spacing w:after="120"/>
        <w:jc w:val="both"/>
        <w:rPr>
          <w:color w:val="010202"/>
        </w:rPr>
      </w:pPr>
    </w:p>
    <w:p w14:paraId="018D9663" w14:textId="77777777" w:rsidR="00D9314B" w:rsidRDefault="00D9314B">
      <w:pPr>
        <w:spacing w:before="0" w:after="160" w:line="259" w:lineRule="auto"/>
        <w:rPr>
          <w:b/>
          <w:color w:val="010202"/>
        </w:rPr>
      </w:pPr>
    </w:p>
    <w:p w14:paraId="2FCF098A" w14:textId="6514EDD7" w:rsidR="00251864" w:rsidRDefault="00251864">
      <w:pPr>
        <w:spacing w:before="0" w:after="160" w:line="259" w:lineRule="auto"/>
        <w:rPr>
          <w:b/>
          <w:color w:val="010202"/>
        </w:rPr>
      </w:pPr>
    </w:p>
    <w:p w14:paraId="34ADC81B" w14:textId="77777777" w:rsidR="00CE345D" w:rsidRDefault="00CE345D">
      <w:pPr>
        <w:spacing w:before="0" w:after="160" w:line="259" w:lineRule="auto"/>
        <w:rPr>
          <w:b/>
          <w:color w:val="010202"/>
        </w:rPr>
      </w:pPr>
      <w:r>
        <w:rPr>
          <w:b/>
          <w:color w:val="010202"/>
        </w:rPr>
        <w:br w:type="page"/>
      </w:r>
    </w:p>
    <w:p w14:paraId="09E2720A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lastRenderedPageBreak/>
        <w:t>Methodik</w:t>
      </w:r>
    </w:p>
    <w:p w14:paraId="4F3DAAA2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Vorgehensweise muss möglichst konkret beschrieben werden.</w:t>
      </w:r>
    </w:p>
    <w:p w14:paraId="0BC7E58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Maßnahmen zur Qualitätssicherung sind zu beschreiben. Zertifikate oder allgemein anerkannte Qualitätsstandards (z.B. Gute Labor / Wissenschaftliche / Epidemiologische / Klinische Praxis), nach denen das Vorhaben durchgeführt wird, sind zu benennen.</w:t>
      </w:r>
    </w:p>
    <w:p w14:paraId="0EBC3D2A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Wie werden Zielgruppen einbezogen? In der Regel ist ein beratender Forschungsbegleitkreis vorzusehen und seine Aufgabe zu beschreiben.</w:t>
      </w:r>
    </w:p>
    <w:p w14:paraId="668329AE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Ein detaillierter Arbeits- und Zeitplan ist vorzulegen, bei Kooperationen mit Zuordnung der Partner (s. Muster). Das Erstellen des wissenschaftlichen Schlussberichtes zählt nicht zu den zuwendungsfähigen Forschungsarbeiten.</w:t>
      </w:r>
    </w:p>
    <w:p w14:paraId="50E2E59B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Epidemiologische Studien: </w:t>
      </w:r>
    </w:p>
    <w:p w14:paraId="2B8F4CA4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Fallzahlberechnung</w:t>
      </w:r>
      <w:r w:rsidRPr="00D9314B">
        <w:rPr>
          <w:i/>
          <w:color w:val="A6A6A6" w:themeColor="background1" w:themeShade="A6"/>
        </w:rPr>
        <w:t xml:space="preserve"> sowie eine detaillierte Beschreibung wie und woher die Fälle/Kontrollen gewonnen werden. </w:t>
      </w:r>
    </w:p>
    <w:p w14:paraId="337C078C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Inwiefern sind die angestrebten </w:t>
      </w:r>
      <w:r w:rsidRPr="006F0377">
        <w:rPr>
          <w:i/>
          <w:color w:val="A6A6A6" w:themeColor="background1" w:themeShade="A6"/>
          <w:u w:val="single"/>
        </w:rPr>
        <w:t xml:space="preserve">Zahlen realistisch </w:t>
      </w:r>
      <w:r w:rsidRPr="00D9314B">
        <w:rPr>
          <w:i/>
          <w:color w:val="A6A6A6" w:themeColor="background1" w:themeShade="A6"/>
        </w:rPr>
        <w:t xml:space="preserve">(z.B. X Fälle im Zeitraum Y in Klinik Z behandelt)? </w:t>
      </w:r>
    </w:p>
    <w:p w14:paraId="383A42C7" w14:textId="2DAD5F6F" w:rsid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Rekrutierungsnotfallplan</w:t>
      </w:r>
      <w:r w:rsidRPr="00D9314B">
        <w:rPr>
          <w:i/>
          <w:color w:val="A6A6A6" w:themeColor="background1" w:themeShade="A6"/>
        </w:rPr>
        <w:t>: Welche Maßnahmen greifen, wenn die angestrebten Zahlen zu einem Zeitpunkt X nicht erreicht werden?</w:t>
      </w:r>
    </w:p>
    <w:p w14:paraId="614906DC" w14:textId="2D981F3A" w:rsidR="005100EE" w:rsidRPr="00146176" w:rsidRDefault="005100EE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1FAA">
        <w:rPr>
          <w:i/>
          <w:color w:val="A6A6A6" w:themeColor="background1" w:themeShade="A6"/>
          <w:u w:val="single"/>
        </w:rPr>
        <w:t>Geschlechterspezifische</w:t>
      </w:r>
      <w:r w:rsidRPr="00146176">
        <w:rPr>
          <w:i/>
          <w:color w:val="A6A6A6" w:themeColor="background1" w:themeShade="A6"/>
        </w:rPr>
        <w:t xml:space="preserve"> Aspekte sind ausreichen</w:t>
      </w:r>
      <w:r w:rsidR="00146176" w:rsidRPr="00146176">
        <w:rPr>
          <w:i/>
          <w:color w:val="A6A6A6" w:themeColor="background1" w:themeShade="A6"/>
        </w:rPr>
        <w:t>d zu</w:t>
      </w:r>
      <w:r w:rsidRPr="00146176">
        <w:rPr>
          <w:i/>
          <w:color w:val="A6A6A6" w:themeColor="background1" w:themeShade="A6"/>
        </w:rPr>
        <w:t xml:space="preserve"> berücksichtig</w:t>
      </w:r>
      <w:r w:rsidR="00146176" w:rsidRPr="00146176">
        <w:rPr>
          <w:i/>
          <w:color w:val="A6A6A6" w:themeColor="background1" w:themeShade="A6"/>
        </w:rPr>
        <w:t>en</w:t>
      </w:r>
      <w:r w:rsidR="006F1FAA">
        <w:rPr>
          <w:i/>
          <w:color w:val="A6A6A6" w:themeColor="background1" w:themeShade="A6"/>
        </w:rPr>
        <w:t>.</w:t>
      </w:r>
    </w:p>
    <w:p w14:paraId="2E20999F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Ggf. sind Meilensteine einzuplanen, an denen in Abhängigkeit vom erreichten Stand anhand zu benennender Kriterien über die Fortsetzung des Vorhabens zu entscheiden ist. Hierzu berät die DGUV Forschungsförderung.</w:t>
      </w:r>
    </w:p>
    <w:p w14:paraId="33B22D9F" w14:textId="77777777" w:rsidR="00140A2F" w:rsidRDefault="00D9314B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Erfolgsrisiken und Grenzen des Forschungsansatzes sind darzustellen.</w:t>
      </w:r>
    </w:p>
    <w:p w14:paraId="558D03D4" w14:textId="77777777" w:rsidR="00140A2F" w:rsidRPr="00140A2F" w:rsidRDefault="00140A2F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140A2F">
        <w:rPr>
          <w:i/>
          <w:color w:val="A6A6A6" w:themeColor="background1" w:themeShade="A6"/>
        </w:rPr>
        <w:t xml:space="preserve">Wenn ein Ethikvotum notwendig ist, aber zum Zeitpunkt der Antragstellung noch nicht vorliegt, ist zu erläutern, wann und unter welchen Voraussetzungen es voraussichtlich erteilt werden kann. </w:t>
      </w:r>
    </w:p>
    <w:p w14:paraId="1E271FD6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5DFD151B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Erwartete</w:t>
      </w:r>
      <w:r w:rsidRPr="00D9314B">
        <w:rPr>
          <w:b/>
          <w:spacing w:val="-1"/>
        </w:rPr>
        <w:t xml:space="preserve"> </w:t>
      </w:r>
      <w:r w:rsidRPr="00D9314B">
        <w:rPr>
          <w:b/>
        </w:rPr>
        <w:t>Ergebnisse</w:t>
      </w:r>
    </w:p>
    <w:p w14:paraId="511F87C5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Es ist möglichst konkret zu beschreiben, in welcher Form (z.B. Informationsschrift, bestimmte Stufe zur Verfahrensetablierung, Pflichtenheft) die Ergebnisse vorgelegt werden sollen.</w:t>
      </w:r>
    </w:p>
    <w:p w14:paraId="01473FE3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256AA4D5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  <w:color w:val="010202"/>
        </w:rPr>
        <w:t>Praktische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Umsetzung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Ergebnisse</w:t>
      </w:r>
    </w:p>
    <w:p w14:paraId="07425028" w14:textId="618D2B9C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Möglichkeiten für die Umsetzung der Ergebnisse nach Vorhabensende insbesondere in die Praxis der Gesetzlichen Unfallversicherung sind darzustellen, möglichst </w:t>
      </w:r>
      <w:r w:rsidR="00CC5F11">
        <w:rPr>
          <w:i/>
          <w:color w:val="A6A6A6" w:themeColor="background1" w:themeShade="A6"/>
        </w:rPr>
        <w:t xml:space="preserve">konkret </w:t>
      </w:r>
      <w:r w:rsidRPr="00D9314B">
        <w:rPr>
          <w:i/>
          <w:color w:val="A6A6A6" w:themeColor="background1" w:themeShade="A6"/>
        </w:rPr>
        <w:t>anhand eines Plans mit Angabe der absehbaren Zeithorizonte</w:t>
      </w:r>
      <w:r w:rsidR="00CC5F11">
        <w:rPr>
          <w:i/>
          <w:color w:val="A6A6A6" w:themeColor="background1" w:themeShade="A6"/>
        </w:rPr>
        <w:t xml:space="preserve"> und der beteiligten Akteure</w:t>
      </w:r>
      <w:r w:rsidRPr="00D9314B">
        <w:rPr>
          <w:i/>
          <w:color w:val="A6A6A6" w:themeColor="background1" w:themeShade="A6"/>
        </w:rPr>
        <w:t>. Ggf. Erläuterungen zu Ziffer 1</w:t>
      </w:r>
      <w:r w:rsidR="00115038">
        <w:rPr>
          <w:i/>
          <w:color w:val="A6A6A6" w:themeColor="background1" w:themeShade="A6"/>
        </w:rPr>
        <w:t>1</w:t>
      </w:r>
      <w:r w:rsidRPr="00D9314B">
        <w:rPr>
          <w:i/>
          <w:color w:val="A6A6A6" w:themeColor="background1" w:themeShade="A6"/>
        </w:rPr>
        <w:t xml:space="preserve"> des Antragsformulars</w:t>
      </w:r>
      <w:r>
        <w:rPr>
          <w:i/>
          <w:color w:val="A6A6A6" w:themeColor="background1" w:themeShade="A6"/>
        </w:rPr>
        <w:t>.</w:t>
      </w:r>
    </w:p>
    <w:p w14:paraId="1609C62B" w14:textId="77777777" w:rsidR="00CE345D" w:rsidRPr="007F75BA" w:rsidRDefault="00CE345D" w:rsidP="00CE345D">
      <w:pPr>
        <w:pStyle w:val="DGUV-Text"/>
        <w:spacing w:after="60"/>
        <w:rPr>
          <w:rFonts w:eastAsia="Arial"/>
        </w:rPr>
      </w:pPr>
      <w:r w:rsidRPr="00753886">
        <w:rPr>
          <w:rFonts w:eastAsia="Arial"/>
          <w:b/>
          <w:u w:val="single"/>
        </w:rPr>
        <w:t>Anhang zu Anlage 1: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Hier sollten</w:t>
      </w:r>
      <w:r>
        <w:rPr>
          <w:rFonts w:eastAsia="Arial"/>
        </w:rPr>
        <w:t xml:space="preserve"> ggf.</w:t>
      </w:r>
      <w:r w:rsidRPr="00C56222">
        <w:rPr>
          <w:rFonts w:eastAsia="Arial"/>
        </w:rPr>
        <w:t xml:space="preserve"> </w:t>
      </w:r>
      <w:r w:rsidRPr="00C56222">
        <w:rPr>
          <w:rFonts w:eastAsia="Arial"/>
          <w:b/>
          <w:u w:val="single"/>
        </w:rPr>
        <w:t>alle</w:t>
      </w:r>
      <w:r w:rsidRPr="00C56222">
        <w:rPr>
          <w:rFonts w:eastAsia="Arial"/>
        </w:rPr>
        <w:t xml:space="preserve"> weiteren </w:t>
      </w:r>
      <w:r>
        <w:rPr>
          <w:rFonts w:eastAsia="Arial"/>
        </w:rPr>
        <w:t xml:space="preserve">wichtigen </w:t>
      </w:r>
      <w:r w:rsidRPr="00C56222">
        <w:rPr>
          <w:rFonts w:eastAsia="Arial"/>
        </w:rPr>
        <w:t>Dokumente, die zum Antrag gehören</w:t>
      </w:r>
      <w:r>
        <w:rPr>
          <w:rFonts w:eastAsia="Arial"/>
        </w:rPr>
        <w:t>,</w:t>
      </w:r>
      <w:r w:rsidRPr="00C56222">
        <w:rPr>
          <w:rFonts w:eastAsia="Arial"/>
        </w:rPr>
        <w:t xml:space="preserve"> </w:t>
      </w:r>
      <w:r>
        <w:rPr>
          <w:rFonts w:eastAsia="Arial"/>
        </w:rPr>
        <w:t>mit Inhaltsverzeichnis</w:t>
      </w:r>
      <w:r w:rsidRPr="00C56222">
        <w:rPr>
          <w:rFonts w:eastAsia="Arial"/>
        </w:rPr>
        <w:t xml:space="preserve"> gesammelt werden, wie z.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B.:</w:t>
      </w:r>
    </w:p>
    <w:p w14:paraId="10042139" w14:textId="60D85781" w:rsidR="00CE41E7" w:rsidRDefault="00CE345D" w:rsidP="00753886">
      <w:pPr>
        <w:pStyle w:val="Textkrper"/>
        <w:widowControl w:val="0"/>
        <w:tabs>
          <w:tab w:val="left" w:pos="827"/>
        </w:tabs>
        <w:spacing w:before="63" w:after="60"/>
      </w:pPr>
      <w:r w:rsidRPr="00CE345D">
        <w:rPr>
          <w:color w:val="010202"/>
        </w:rPr>
        <w:t>Liste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der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zitierten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 xml:space="preserve">Publikationen, </w:t>
      </w:r>
      <w:r w:rsidR="00B744BB" w:rsidRPr="00B744BB">
        <w:rPr>
          <w:color w:val="010202"/>
        </w:rPr>
        <w:t>Datenschutzkonzept - inklusive Nachweis einer Prüfung durch Datenschutzbeauftragten</w:t>
      </w:r>
      <w:r w:rsidRPr="00CE345D">
        <w:rPr>
          <w:color w:val="010202"/>
        </w:rPr>
        <w:t xml:space="preserve">, </w:t>
      </w:r>
      <w:r w:rsidRPr="00CE345D">
        <w:rPr>
          <w:color w:val="010202"/>
          <w:spacing w:val="-1"/>
        </w:rPr>
        <w:t>Ethikvotum, Schriftsatz zur Probanden-Aufklärung incl. Einverständniserklärung</w:t>
      </w:r>
      <w:r>
        <w:rPr>
          <w:color w:val="010202"/>
          <w:spacing w:val="-1"/>
        </w:rPr>
        <w:t xml:space="preserve">, </w:t>
      </w:r>
      <w:r w:rsidRPr="00CE345D">
        <w:rPr>
          <w:color w:val="010202"/>
          <w:spacing w:val="-1"/>
        </w:rPr>
        <w:t>Darlegung des bestehenden oder geplanten Versicherungsschutzes der Probanden</w:t>
      </w:r>
      <w:r>
        <w:rPr>
          <w:color w:val="010202"/>
          <w:spacing w:val="-1"/>
        </w:rPr>
        <w:t>, etc. ...</w:t>
      </w:r>
    </w:p>
    <w:sectPr w:rsidR="00CE41E7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99CE" w14:textId="77777777" w:rsidR="00CC164A" w:rsidRDefault="00CC164A" w:rsidP="00D9314B">
      <w:pPr>
        <w:spacing w:before="0" w:after="0"/>
      </w:pPr>
      <w:r>
        <w:separator/>
      </w:r>
    </w:p>
  </w:endnote>
  <w:endnote w:type="continuationSeparator" w:id="0">
    <w:p w14:paraId="37B616EE" w14:textId="77777777" w:rsidR="00CC164A" w:rsidRDefault="00CC164A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39B6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5038">
      <w:rPr>
        <w:noProof/>
      </w:rPr>
      <w:t>2</w:t>
    </w:r>
    <w:r>
      <w:fldChar w:fldCharType="end"/>
    </w:r>
    <w:r>
      <w:t xml:space="preserve"> / </w:t>
    </w:r>
    <w:r w:rsidR="00887A88">
      <w:rPr>
        <w:noProof/>
      </w:rPr>
      <w:fldChar w:fldCharType="begin"/>
    </w:r>
    <w:r w:rsidR="00887A88">
      <w:rPr>
        <w:noProof/>
      </w:rPr>
      <w:instrText xml:space="preserve"> NUMPAGES   \* MERGEFORMAT </w:instrText>
    </w:r>
    <w:r w:rsidR="00887A88">
      <w:rPr>
        <w:noProof/>
      </w:rPr>
      <w:fldChar w:fldCharType="separate"/>
    </w:r>
    <w:r w:rsidR="00115038">
      <w:rPr>
        <w:noProof/>
      </w:rPr>
      <w:t>2</w:t>
    </w:r>
    <w:r w:rsidR="00887A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3FF7" w14:textId="77777777" w:rsidR="00CC164A" w:rsidRDefault="00CC164A" w:rsidP="00D9314B">
      <w:pPr>
        <w:spacing w:before="0" w:after="0"/>
      </w:pPr>
      <w:r>
        <w:separator/>
      </w:r>
    </w:p>
  </w:footnote>
  <w:footnote w:type="continuationSeparator" w:id="0">
    <w:p w14:paraId="198B6B79" w14:textId="77777777" w:rsidR="00CC164A" w:rsidRDefault="00CC164A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1BF6" w14:textId="77777777" w:rsidR="00CE345D" w:rsidRPr="00753886" w:rsidRDefault="00CE345D" w:rsidP="00CE345D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sind ungeschützt einzureichen.</w:t>
    </w:r>
  </w:p>
  <w:p w14:paraId="165D6BC2" w14:textId="77777777" w:rsidR="00CE345D" w:rsidRPr="00753886" w:rsidRDefault="00CE345D" w:rsidP="0022285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müssen auch als Schwarz-Weiß-Ausdrucke lesbar und zuordnungsfähig sein.</w:t>
    </w:r>
  </w:p>
  <w:p w14:paraId="18FBBE95" w14:textId="77777777" w:rsidR="00CE345D" w:rsidRDefault="00CE345D" w:rsidP="0022285E">
    <w:pPr>
      <w:autoSpaceDE w:val="0"/>
      <w:autoSpaceDN w:val="0"/>
      <w:adjustRightInd w:val="0"/>
      <w:spacing w:before="0" w:after="0"/>
    </w:pPr>
    <w:r w:rsidRPr="00753886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  <w:p w14:paraId="0CCB0A16" w14:textId="77777777" w:rsidR="0022285E" w:rsidRDefault="00222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3CB69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62796"/>
    <w:multiLevelType w:val="hybridMultilevel"/>
    <w:tmpl w:val="A3FECC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F48F3"/>
    <w:multiLevelType w:val="hybridMultilevel"/>
    <w:tmpl w:val="8E2A68CC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11">
      <w:start w:val="1"/>
      <w:numFmt w:val="decimal"/>
      <w:lvlText w:val="%2)"/>
      <w:lvlJc w:val="left"/>
      <w:pPr>
        <w:ind w:left="813" w:hanging="377"/>
      </w:pPr>
      <w:rPr>
        <w:rFonts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num w:numId="1" w16cid:durableId="1064793350">
    <w:abstractNumId w:val="2"/>
  </w:num>
  <w:num w:numId="2" w16cid:durableId="1230120190">
    <w:abstractNumId w:val="3"/>
  </w:num>
  <w:num w:numId="3" w16cid:durableId="395052305">
    <w:abstractNumId w:val="0"/>
  </w:num>
  <w:num w:numId="4" w16cid:durableId="566309648">
    <w:abstractNumId w:val="1"/>
  </w:num>
  <w:num w:numId="5" w16cid:durableId="1116296630">
    <w:abstractNumId w:val="4"/>
  </w:num>
  <w:num w:numId="6" w16cid:durableId="16780023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15038"/>
    <w:rsid w:val="00140A2F"/>
    <w:rsid w:val="00146176"/>
    <w:rsid w:val="00161E80"/>
    <w:rsid w:val="00174663"/>
    <w:rsid w:val="001B525F"/>
    <w:rsid w:val="0022285E"/>
    <w:rsid w:val="00251864"/>
    <w:rsid w:val="00275C06"/>
    <w:rsid w:val="00386147"/>
    <w:rsid w:val="003D367F"/>
    <w:rsid w:val="0047674F"/>
    <w:rsid w:val="005100EE"/>
    <w:rsid w:val="00581096"/>
    <w:rsid w:val="006F0377"/>
    <w:rsid w:val="006F1FAA"/>
    <w:rsid w:val="00717AB4"/>
    <w:rsid w:val="00723AC7"/>
    <w:rsid w:val="00753886"/>
    <w:rsid w:val="007A0930"/>
    <w:rsid w:val="00802394"/>
    <w:rsid w:val="008122EA"/>
    <w:rsid w:val="00813BA0"/>
    <w:rsid w:val="00825DC5"/>
    <w:rsid w:val="00832F71"/>
    <w:rsid w:val="008438E4"/>
    <w:rsid w:val="00887A88"/>
    <w:rsid w:val="008972A3"/>
    <w:rsid w:val="00954EB9"/>
    <w:rsid w:val="009721FE"/>
    <w:rsid w:val="00A16029"/>
    <w:rsid w:val="00A666E3"/>
    <w:rsid w:val="00B34E87"/>
    <w:rsid w:val="00B744BB"/>
    <w:rsid w:val="00CC164A"/>
    <w:rsid w:val="00CC5F11"/>
    <w:rsid w:val="00CE345D"/>
    <w:rsid w:val="00CE41E7"/>
    <w:rsid w:val="00D9314B"/>
    <w:rsid w:val="00EA2BD5"/>
    <w:rsid w:val="00ED2BDE"/>
    <w:rsid w:val="00FC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051F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Default">
    <w:name w:val="Default"/>
    <w:rsid w:val="00140A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GUV-Text">
    <w:name w:val="DGUV- Text"/>
    <w:basedOn w:val="Standard"/>
    <w:rsid w:val="00CE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eacbf34a-07a4-4d7e-8fb1-01ff20666a6e">
      <UserInfo>
        <DisplayName/>
        <AccountId xsi:nil="true"/>
        <AccountType/>
      </UserInfo>
    </Person>
    <TaxCatchAll xmlns="883232d7-bddf-4fc9-ab3c-180fd4066972" xsi:nil="true"/>
    <lcf76f155ced4ddcb4097134ff3c332f xmlns="eacbf34a-07a4-4d7e-8fb1-01ff20666a6e">
      <Terms xmlns="http://schemas.microsoft.com/office/infopath/2007/PartnerControls"/>
    </lcf76f155ced4ddcb4097134ff3c332f>
    <Info xmlns="eacbf34a-07a4-4d7e-8fb1-01ff20666a6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8AEDCD8E0A34F8257C7C86FA2C62D" ma:contentTypeVersion="13" ma:contentTypeDescription="Ein neues Dokument erstellen." ma:contentTypeScope="" ma:versionID="c6de610010cabb8e2a0f7634955a7284">
  <xsd:schema xmlns:xsd="http://www.w3.org/2001/XMLSchema" xmlns:xs="http://www.w3.org/2001/XMLSchema" xmlns:p="http://schemas.microsoft.com/office/2006/metadata/properties" xmlns:ns2="eacbf34a-07a4-4d7e-8fb1-01ff20666a6e" xmlns:ns3="883232d7-bddf-4fc9-ab3c-180fd4066972" targetNamespace="http://schemas.microsoft.com/office/2006/metadata/properties" ma:root="true" ma:fieldsID="b8a97c871b274bfd17d6aac92108d226" ns2:_="" ns3:_="">
    <xsd:import namespace="eacbf34a-07a4-4d7e-8fb1-01ff20666a6e"/>
    <xsd:import namespace="883232d7-bddf-4fc9-ab3c-180fd4066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  <xsd:element ref="ns2: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bf34a-07a4-4d7e-8fb1-01ff20666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df73da6-3f2c-4f63-ab01-70b5db7e7a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9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" ma:index="20" nillable="true" ma:displayName="Info" ma:format="Dropdown" ma:internalName="Inf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232d7-bddf-4fc9-ab3c-180fd40669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9d09-90cb-4934-9781-174b7803c797}" ma:internalName="TaxCatchAll" ma:showField="CatchAllData" ma:web="883232d7-bddf-4fc9-ab3c-180fd4066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322B0-BF0D-4B3C-AF94-2F5554950D2B}">
  <ds:schemaRefs>
    <ds:schemaRef ds:uri="http://schemas.microsoft.com/office/2006/metadata/properties"/>
    <ds:schemaRef ds:uri="http://schemas.microsoft.com/office/infopath/2007/PartnerControls"/>
    <ds:schemaRef ds:uri="eacbf34a-07a4-4d7e-8fb1-01ff20666a6e"/>
    <ds:schemaRef ds:uri="883232d7-bddf-4fc9-ab3c-180fd4066972"/>
  </ds:schemaRefs>
</ds:datastoreItem>
</file>

<file path=customXml/itemProps2.xml><?xml version="1.0" encoding="utf-8"?>
<ds:datastoreItem xmlns:ds="http://schemas.openxmlformats.org/officeDocument/2006/customXml" ds:itemID="{8A712EB6-8801-4F1F-9E4C-36D67DBB6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bf34a-07a4-4d7e-8fb1-01ff20666a6e"/>
    <ds:schemaRef ds:uri="883232d7-bddf-4fc9-ab3c-180fd4066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85646-0D61-4661-991F-946B3B917E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Schmidt, Michael</cp:lastModifiedBy>
  <cp:revision>13</cp:revision>
  <dcterms:created xsi:type="dcterms:W3CDTF">2024-04-09T06:46:00Z</dcterms:created>
  <dcterms:modified xsi:type="dcterms:W3CDTF">2025-04-24T13:15:00Z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5839c-a198-4d87-a0d2-c07b8aa32614_Enabled">
    <vt:lpwstr>true</vt:lpwstr>
  </property>
  <property fmtid="{D5CDD505-2E9C-101B-9397-08002B2CF9AE}" pid="3" name="MSIP_Label_7545839c-a198-4d87-a0d2-c07b8aa32614_SetDate">
    <vt:lpwstr>2024-04-09T06:46:28Z</vt:lpwstr>
  </property>
  <property fmtid="{D5CDD505-2E9C-101B-9397-08002B2CF9AE}" pid="4" name="MSIP_Label_7545839c-a198-4d87-a0d2-c07b8aa32614_Method">
    <vt:lpwstr>Standard</vt:lpwstr>
  </property>
  <property fmtid="{D5CDD505-2E9C-101B-9397-08002B2CF9AE}" pid="5" name="MSIP_Label_7545839c-a198-4d87-a0d2-c07b8aa32614_Name">
    <vt:lpwstr>Öffentlich</vt:lpwstr>
  </property>
  <property fmtid="{D5CDD505-2E9C-101B-9397-08002B2CF9AE}" pid="6" name="MSIP_Label_7545839c-a198-4d87-a0d2-c07b8aa32614_SiteId">
    <vt:lpwstr>f3987bed-0f17-4307-a6bb-a2ae861736b7</vt:lpwstr>
  </property>
  <property fmtid="{D5CDD505-2E9C-101B-9397-08002B2CF9AE}" pid="7" name="MSIP_Label_7545839c-a198-4d87-a0d2-c07b8aa32614_ActionId">
    <vt:lpwstr>ffe86c43-8fcf-4f3b-bd5e-38a4d4c3f4a3</vt:lpwstr>
  </property>
  <property fmtid="{D5CDD505-2E9C-101B-9397-08002B2CF9AE}" pid="8" name="MSIP_Label_7545839c-a198-4d87-a0d2-c07b8aa32614_ContentBits">
    <vt:lpwstr>0</vt:lpwstr>
  </property>
  <property fmtid="{D5CDD505-2E9C-101B-9397-08002B2CF9AE}" pid="9" name="ContentTypeId">
    <vt:lpwstr>0x0101006D98AEDCD8E0A34F8257C7C86FA2C62D</vt:lpwstr>
  </property>
  <property fmtid="{D5CDD505-2E9C-101B-9397-08002B2CF9AE}" pid="10" name="MediaServiceImageTags">
    <vt:lpwstr/>
  </property>
</Properties>
</file>